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0E2B3B" w:rsidP="00230905">
            <w:pPr>
              <w:rPr>
                <w:sz w:val="22"/>
                <w:szCs w:val="22"/>
              </w:rPr>
            </w:pPr>
            <w:r w:rsidRPr="00C61505">
              <w:rPr>
                <w:b/>
                <w:sz w:val="22"/>
                <w:szCs w:val="22"/>
              </w:rPr>
              <w:t>Метод Монте-Карло: планирование и прогнозирование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CE5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CE54EC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CE54EC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CE54EC" w:rsidP="00001F39">
            <w:pPr>
              <w:rPr>
                <w:sz w:val="22"/>
                <w:szCs w:val="22"/>
              </w:rPr>
            </w:pPr>
            <w:r w:rsidRPr="00CE54EC">
              <w:rPr>
                <w:sz w:val="22"/>
                <w:szCs w:val="22"/>
              </w:rPr>
              <w:t>Управление проектами и программами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0E2B3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30905" w:rsidRPr="007223CA">
              <w:rPr>
                <w:sz w:val="22"/>
                <w:szCs w:val="22"/>
              </w:rPr>
              <w:t>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8020D3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DA275F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21022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bookmarkStart w:id="0" w:name="_GoBack"/>
            <w:bookmarkEnd w:id="0"/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E2B3B" w:rsidRPr="00F41493" w:rsidTr="00F259CD">
        <w:trPr>
          <w:trHeight w:val="177"/>
        </w:trPr>
        <w:tc>
          <w:tcPr>
            <w:tcW w:w="10490" w:type="dxa"/>
            <w:gridSpan w:val="3"/>
          </w:tcPr>
          <w:p w:rsidR="000E2B3B" w:rsidRPr="009C7AE9" w:rsidRDefault="000E2B3B" w:rsidP="000E2B3B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1. </w:t>
            </w:r>
            <w:r w:rsidRPr="00672B69">
              <w:rPr>
                <w:sz w:val="22"/>
                <w:szCs w:val="22"/>
              </w:rPr>
              <w:t>Введение в теорию прогнозирования</w:t>
            </w:r>
          </w:p>
        </w:tc>
      </w:tr>
      <w:tr w:rsidR="000E2B3B" w:rsidRPr="00F41493" w:rsidTr="00CB2C49">
        <w:tc>
          <w:tcPr>
            <w:tcW w:w="10490" w:type="dxa"/>
            <w:gridSpan w:val="3"/>
          </w:tcPr>
          <w:p w:rsidR="000E2B3B" w:rsidRPr="009C7AE9" w:rsidRDefault="000E2B3B" w:rsidP="000E2B3B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2.</w:t>
            </w:r>
            <w:r w:rsidRPr="00672B69">
              <w:rPr>
                <w:sz w:val="22"/>
                <w:szCs w:val="22"/>
              </w:rPr>
              <w:t xml:space="preserve">Исследование наборов данных и выбор метода </w:t>
            </w:r>
            <w:r>
              <w:rPr>
                <w:sz w:val="22"/>
                <w:szCs w:val="22"/>
              </w:rPr>
              <w:t xml:space="preserve">при </w:t>
            </w:r>
            <w:r w:rsidRPr="00672B69">
              <w:rPr>
                <w:sz w:val="22"/>
                <w:szCs w:val="22"/>
              </w:rPr>
              <w:t>прогнозировани</w:t>
            </w:r>
            <w:r>
              <w:rPr>
                <w:sz w:val="22"/>
                <w:szCs w:val="22"/>
              </w:rPr>
              <w:t>и временных рядов</w:t>
            </w:r>
          </w:p>
        </w:tc>
      </w:tr>
      <w:tr w:rsidR="000E2B3B" w:rsidRPr="00F41493" w:rsidTr="00CB2C49">
        <w:tc>
          <w:tcPr>
            <w:tcW w:w="10490" w:type="dxa"/>
            <w:gridSpan w:val="3"/>
          </w:tcPr>
          <w:p w:rsidR="000E2B3B" w:rsidRPr="009C7AE9" w:rsidRDefault="000E2B3B" w:rsidP="000E2B3B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3. </w:t>
            </w:r>
            <w:r w:rsidRPr="00672B69">
              <w:rPr>
                <w:color w:val="000000"/>
                <w:sz w:val="22"/>
                <w:szCs w:val="22"/>
              </w:rPr>
              <w:t>Методы сглаживания и скользящие средние</w:t>
            </w:r>
          </w:p>
        </w:tc>
      </w:tr>
      <w:tr w:rsidR="000E2B3B" w:rsidRPr="00F41493" w:rsidTr="00CB2C49">
        <w:tc>
          <w:tcPr>
            <w:tcW w:w="10490" w:type="dxa"/>
            <w:gridSpan w:val="3"/>
          </w:tcPr>
          <w:p w:rsidR="000E2B3B" w:rsidRPr="009C7AE9" w:rsidRDefault="000E2B3B" w:rsidP="000E2B3B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4. </w:t>
            </w:r>
            <w:r w:rsidRPr="00672B69">
              <w:rPr>
                <w:rFonts w:eastAsia="Calibri"/>
                <w:sz w:val="22"/>
                <w:szCs w:val="22"/>
              </w:rPr>
              <w:t xml:space="preserve">Методы проецирования рядов, имеющих тренд, сезонность </w:t>
            </w:r>
          </w:p>
        </w:tc>
      </w:tr>
      <w:tr w:rsidR="000E2B3B" w:rsidRPr="00F41493" w:rsidTr="00CB2C49">
        <w:tc>
          <w:tcPr>
            <w:tcW w:w="10490" w:type="dxa"/>
            <w:gridSpan w:val="3"/>
          </w:tcPr>
          <w:p w:rsidR="000E2B3B" w:rsidRPr="009C7AE9" w:rsidRDefault="000E2B3B" w:rsidP="000E2B3B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</w:rPr>
              <w:t>Сущность и процедура применения метода Монте-Карло</w:t>
            </w:r>
          </w:p>
        </w:tc>
      </w:tr>
      <w:tr w:rsidR="000E2B3B" w:rsidRPr="00F41493" w:rsidTr="00CB2C49">
        <w:tc>
          <w:tcPr>
            <w:tcW w:w="10490" w:type="dxa"/>
            <w:gridSpan w:val="3"/>
          </w:tcPr>
          <w:p w:rsidR="000E2B3B" w:rsidRPr="00502A4D" w:rsidRDefault="000E2B3B" w:rsidP="000E2B3B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6.Применение метода Монте-Карло для управления рисками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0E2B3B" w:rsidRPr="003E71AD" w:rsidRDefault="000E2B3B" w:rsidP="000E2B3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A275F" w:rsidRPr="00450E5A" w:rsidRDefault="00DA275F" w:rsidP="00C61505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450E5A">
              <w:rPr>
                <w:rFonts w:ascii="&amp;quot" w:hAnsi="&amp;quot"/>
                <w:sz w:val="22"/>
                <w:szCs w:val="22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hyperlink r:id="rId8" w:history="1">
              <w:r w:rsidRPr="00DD481C">
                <w:rPr>
                  <w:rStyle w:val="aff3"/>
                  <w:rFonts w:ascii="&amp;quot" w:hAnsi="&amp;quot"/>
                  <w:kern w:val="0"/>
                  <w:sz w:val="22"/>
                  <w:szCs w:val="22"/>
                </w:rPr>
                <w:t>http://znanium.com/go.php?id=948489</w:t>
              </w:r>
            </w:hyperlink>
          </w:p>
          <w:p w:rsidR="00DA275F" w:rsidRPr="00E27203" w:rsidRDefault="00DA275F" w:rsidP="00C61505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sz w:val="20"/>
                <w:szCs w:val="24"/>
              </w:rPr>
            </w:pPr>
            <w:r w:rsidRPr="00CB6991">
              <w:rPr>
                <w:rFonts w:ascii="&amp;quot" w:hAnsi="&amp;quot"/>
                <w:color w:val="000000"/>
                <w:sz w:val="22"/>
                <w:szCs w:val="22"/>
              </w:rPr>
              <w:t xml:space="preserve">Теория вероятностей и математическая статистика [Электронный ресурс] : учебное пособие для студентов </w:t>
            </w:r>
            <w:r w:rsidRPr="00E27203">
              <w:rPr>
                <w:rFonts w:ascii="&amp;quot" w:hAnsi="&amp;quot"/>
                <w:sz w:val="22"/>
                <w:szCs w:val="22"/>
              </w:rPr>
              <w:t>вузов</w:t>
            </w:r>
            <w:r w:rsidRPr="00CB6991">
              <w:rPr>
                <w:rFonts w:ascii="&amp;quot" w:hAnsi="&amp;quot"/>
                <w:color w:val="000000"/>
                <w:sz w:val="22"/>
                <w:szCs w:val="22"/>
              </w:rPr>
              <w:t xml:space="preserve">, обучающихся по направлениям 38.03.01 "Экономика", 38.03.02 "Менеджмент", 38.03.05 "Бизнес-информатика" / [Л. Г. Бирюкова [и др.] ; под ред. В. И. Матвеева ; М-во образования и науки Рос. Федерации, Рос. экон. ун-т им. Г. В. Плеханова. - 2-е изд., испр. и доп. - Москва : ИНФРА-М, 2017. - 289 с. </w:t>
            </w:r>
            <w:hyperlink r:id="rId9" w:history="1">
              <w:r w:rsidRPr="00082B79">
                <w:rPr>
                  <w:rStyle w:val="aff3"/>
                  <w:rFonts w:ascii="&amp;quot" w:hAnsi="&amp;quot"/>
                  <w:sz w:val="22"/>
                  <w:szCs w:val="22"/>
                </w:rPr>
                <w:t>http://znanium.com/go.php?id=370899</w:t>
              </w:r>
            </w:hyperlink>
          </w:p>
          <w:p w:rsidR="00DA275F" w:rsidRPr="00E27203" w:rsidRDefault="00DA275F" w:rsidP="00C61505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Style w:val="aff3"/>
                <w:rFonts w:ascii="&amp;quot" w:hAnsi="&amp;quot"/>
                <w:color w:val="000000"/>
                <w:sz w:val="20"/>
                <w:u w:val="none"/>
              </w:rPr>
            </w:pPr>
            <w:r w:rsidRPr="00E27203">
              <w:rPr>
                <w:rFonts w:ascii="&amp;quot" w:hAnsi="&amp;quot"/>
                <w:sz w:val="22"/>
                <w:szCs w:val="22"/>
              </w:rPr>
              <w:t>Риски</w:t>
            </w:r>
            <w:r w:rsidRPr="00DD481C">
              <w:rPr>
                <w:rFonts w:ascii="&amp;quot" w:hAnsi="&amp;quot"/>
                <w:color w:val="000000"/>
                <w:sz w:val="22"/>
                <w:szCs w:val="22"/>
              </w:rPr>
              <w:t xml:space="preserve"> хозяйствующих субъектов: теоретические основы, методологии анализа, прогнозирования и упр.: Уч.пос. / В.И.Авдийский, В.М.Безденежных. -М.: Альфа-М: НИЦ ИНФРА-М,2013 - 368 с.: 60x90 1/16. - (Магистратура). (п) ISBN 978-5-98281-333-6 - Режим доступа: </w:t>
            </w:r>
            <w:hyperlink r:id="rId10" w:history="1">
              <w:r w:rsidRPr="00E27203">
                <w:rPr>
                  <w:rStyle w:val="aff3"/>
                  <w:rFonts w:ascii="&amp;quot" w:hAnsi="&amp;quot"/>
                  <w:sz w:val="22"/>
                  <w:szCs w:val="22"/>
                </w:rPr>
                <w:t>http://znanium.com/catalog/product/394136</w:t>
              </w:r>
            </w:hyperlink>
          </w:p>
          <w:p w:rsidR="00DA275F" w:rsidRPr="00CB6991" w:rsidRDefault="00DA275F" w:rsidP="000951EE">
            <w:pPr>
              <w:pStyle w:val="a8"/>
              <w:tabs>
                <w:tab w:val="left" w:pos="195"/>
              </w:tabs>
              <w:ind w:left="5"/>
              <w:jc w:val="both"/>
              <w:rPr>
                <w:b/>
                <w:sz w:val="22"/>
                <w:szCs w:val="22"/>
              </w:rPr>
            </w:pPr>
            <w:r w:rsidRPr="00CB699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A275F" w:rsidRPr="00D84BA4" w:rsidRDefault="00DA275F" w:rsidP="00C61505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D84BA4">
              <w:rPr>
                <w:rFonts w:ascii="&amp;quot" w:hAnsi="&amp;quot"/>
                <w:kern w:val="0"/>
                <w:sz w:val="22"/>
                <w:szCs w:val="22"/>
              </w:rPr>
              <w:t xml:space="preserve">Высшая математика в упражнениях и задачах [Текст] : [учебное пособие для вузов] / П. Е. Данко [и др.]. - 7-е изд. - Москва : АСТ: [Мир и Образование], 2016. - 815 с. </w:t>
            </w:r>
          </w:p>
          <w:p w:rsidR="00E27203" w:rsidRPr="00E27203" w:rsidRDefault="00DA275F" w:rsidP="00DA275F">
            <w:pPr>
              <w:pStyle w:val="a8"/>
              <w:numPr>
                <w:ilvl w:val="0"/>
                <w:numId w:val="50"/>
              </w:numPr>
              <w:tabs>
                <w:tab w:val="left" w:pos="195"/>
              </w:tabs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Т</w:t>
            </w:r>
            <w:r w:rsidRPr="00CB6991">
              <w:rPr>
                <w:rFonts w:ascii="&amp;quot" w:hAnsi="&amp;quot"/>
                <w:color w:val="000000"/>
                <w:sz w:val="22"/>
                <w:szCs w:val="22"/>
              </w:rPr>
              <w:t>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C61505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21022" w:rsidRDefault="00621022" w:rsidP="0061508B">
      <w:pPr>
        <w:ind w:left="-284"/>
        <w:rPr>
          <w:sz w:val="24"/>
          <w:szCs w:val="24"/>
        </w:rPr>
      </w:pPr>
    </w:p>
    <w:p w:rsidR="00907949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907949">
        <w:rPr>
          <w:sz w:val="24"/>
          <w:szCs w:val="24"/>
        </w:rPr>
        <w:t xml:space="preserve">                                                                                                          Раменская Л.А.</w:t>
      </w:r>
    </w:p>
    <w:sectPr w:rsidR="009079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1A" w:rsidRDefault="002C001A">
      <w:r>
        <w:separator/>
      </w:r>
    </w:p>
  </w:endnote>
  <w:endnote w:type="continuationSeparator" w:id="0">
    <w:p w:rsidR="002C001A" w:rsidRDefault="002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1A" w:rsidRDefault="002C001A">
      <w:r>
        <w:separator/>
      </w:r>
    </w:p>
  </w:footnote>
  <w:footnote w:type="continuationSeparator" w:id="0">
    <w:p w:rsidR="002C001A" w:rsidRDefault="002C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9125E2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09D3DCB"/>
    <w:multiLevelType w:val="multilevel"/>
    <w:tmpl w:val="C66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4D45AA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1D431A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"/>
  </w:num>
  <w:num w:numId="5">
    <w:abstractNumId w:val="46"/>
  </w:num>
  <w:num w:numId="6">
    <w:abstractNumId w:val="47"/>
  </w:num>
  <w:num w:numId="7">
    <w:abstractNumId w:val="32"/>
  </w:num>
  <w:num w:numId="8">
    <w:abstractNumId w:val="27"/>
  </w:num>
  <w:num w:numId="9">
    <w:abstractNumId w:val="41"/>
  </w:num>
  <w:num w:numId="10">
    <w:abstractNumId w:val="42"/>
  </w:num>
  <w:num w:numId="11">
    <w:abstractNumId w:val="11"/>
  </w:num>
  <w:num w:numId="12">
    <w:abstractNumId w:val="19"/>
  </w:num>
  <w:num w:numId="13">
    <w:abstractNumId w:val="39"/>
  </w:num>
  <w:num w:numId="14">
    <w:abstractNumId w:val="14"/>
  </w:num>
  <w:num w:numId="15">
    <w:abstractNumId w:val="34"/>
  </w:num>
  <w:num w:numId="16">
    <w:abstractNumId w:val="48"/>
  </w:num>
  <w:num w:numId="17">
    <w:abstractNumId w:val="21"/>
  </w:num>
  <w:num w:numId="18">
    <w:abstractNumId w:val="13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5"/>
  </w:num>
  <w:num w:numId="27">
    <w:abstractNumId w:val="43"/>
  </w:num>
  <w:num w:numId="28">
    <w:abstractNumId w:val="25"/>
  </w:num>
  <w:num w:numId="29">
    <w:abstractNumId w:val="17"/>
  </w:num>
  <w:num w:numId="30">
    <w:abstractNumId w:val="38"/>
  </w:num>
  <w:num w:numId="31">
    <w:abstractNumId w:val="49"/>
  </w:num>
  <w:num w:numId="32">
    <w:abstractNumId w:val="28"/>
  </w:num>
  <w:num w:numId="33">
    <w:abstractNumId w:val="10"/>
  </w:num>
  <w:num w:numId="34">
    <w:abstractNumId w:val="4"/>
  </w:num>
  <w:num w:numId="35">
    <w:abstractNumId w:val="23"/>
  </w:num>
  <w:num w:numId="36">
    <w:abstractNumId w:val="40"/>
  </w:num>
  <w:num w:numId="37">
    <w:abstractNumId w:val="45"/>
  </w:num>
  <w:num w:numId="38">
    <w:abstractNumId w:val="8"/>
  </w:num>
  <w:num w:numId="39">
    <w:abstractNumId w:val="20"/>
  </w:num>
  <w:num w:numId="40">
    <w:abstractNumId w:val="7"/>
  </w:num>
  <w:num w:numId="41">
    <w:abstractNumId w:val="36"/>
  </w:num>
  <w:num w:numId="42">
    <w:abstractNumId w:val="0"/>
  </w:num>
  <w:num w:numId="43">
    <w:abstractNumId w:val="22"/>
  </w:num>
  <w:num w:numId="44">
    <w:abstractNumId w:val="15"/>
  </w:num>
  <w:num w:numId="45">
    <w:abstractNumId w:val="16"/>
  </w:num>
  <w:num w:numId="46">
    <w:abstractNumId w:val="24"/>
  </w:num>
  <w:num w:numId="47">
    <w:abstractNumId w:val="33"/>
  </w:num>
  <w:num w:numId="48">
    <w:abstractNumId w:val="31"/>
  </w:num>
  <w:num w:numId="49">
    <w:abstractNumId w:val="44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45D4"/>
    <w:rsid w:val="000855F1"/>
    <w:rsid w:val="00085FC7"/>
    <w:rsid w:val="000951EE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2B3B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1648"/>
    <w:rsid w:val="00133AC1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C001A"/>
    <w:rsid w:val="002D22E3"/>
    <w:rsid w:val="002D4709"/>
    <w:rsid w:val="002D4D8D"/>
    <w:rsid w:val="002E23B0"/>
    <w:rsid w:val="002E341B"/>
    <w:rsid w:val="002F0930"/>
    <w:rsid w:val="0030376B"/>
    <w:rsid w:val="0031071F"/>
    <w:rsid w:val="00310C2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0635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21022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C6CAA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020D3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505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54EC"/>
    <w:rsid w:val="00CE6D3A"/>
    <w:rsid w:val="00D0204B"/>
    <w:rsid w:val="00D045A6"/>
    <w:rsid w:val="00D0576A"/>
    <w:rsid w:val="00D11AD3"/>
    <w:rsid w:val="00D15260"/>
    <w:rsid w:val="00D1781E"/>
    <w:rsid w:val="00D22DE0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EAB"/>
    <w:rsid w:val="00D8105C"/>
    <w:rsid w:val="00D811BC"/>
    <w:rsid w:val="00D90AD1"/>
    <w:rsid w:val="00DA275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81C"/>
    <w:rsid w:val="00DD787F"/>
    <w:rsid w:val="00DE2AD3"/>
    <w:rsid w:val="00DE2D5E"/>
    <w:rsid w:val="00DE47D2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2720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6DCB2-2AF0-4654-AA51-2988E07C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8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94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32FA-06F1-42D4-80D7-01B6C829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2020-02-21T12:01:00Z</dcterms:created>
  <dcterms:modified xsi:type="dcterms:W3CDTF">2020-03-25T09:06:00Z</dcterms:modified>
</cp:coreProperties>
</file>